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384" w14:textId="77777777" w:rsidR="00CB4EC8" w:rsidRPr="00CB4EC8" w:rsidRDefault="00CB4EC8" w:rsidP="00CB4EC8">
      <w:pPr>
        <w:tabs>
          <w:tab w:val="left" w:pos="7938"/>
        </w:tabs>
        <w:ind w:left="6521" w:hanging="7371"/>
        <w:rPr>
          <w:sz w:val="16"/>
          <w:szCs w:val="16"/>
          <w:lang w:val="lt-LT"/>
        </w:rPr>
      </w:pPr>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Default="00CB4EC8" w:rsidP="00CB4EC8">
      <w:pPr>
        <w:tabs>
          <w:tab w:val="left" w:pos="8080"/>
        </w:tabs>
        <w:jc w:val="right"/>
        <w:rPr>
          <w:sz w:val="20"/>
          <w:lang w:val="lt-LT"/>
        </w:rPr>
      </w:pPr>
    </w:p>
    <w:p w14:paraId="7986C9DC" w14:textId="77777777" w:rsidR="00CB4EC8" w:rsidRPr="00A50871" w:rsidRDefault="00CB4EC8">
      <w:pPr>
        <w:tabs>
          <w:tab w:val="left" w:pos="8080"/>
        </w:tabs>
        <w:rPr>
          <w:sz w:val="20"/>
          <w:lang w:val="lt-LT"/>
        </w:rPr>
      </w:pPr>
    </w:p>
    <w:p w14:paraId="310A0F2B" w14:textId="21F27571" w:rsidR="00DE7EB1" w:rsidRPr="00A241A7" w:rsidRDefault="00A241A7" w:rsidP="00A241A7">
      <w:pPr>
        <w:tabs>
          <w:tab w:val="left" w:pos="8080"/>
        </w:tabs>
        <w:jc w:val="center"/>
        <w:rPr>
          <w:b/>
          <w:lang w:val="lt-LT"/>
        </w:rPr>
      </w:pPr>
      <w:r w:rsidRPr="00A241A7">
        <w:rPr>
          <w:b/>
          <w:lang w:val="lt-LT"/>
        </w:rPr>
        <w:t>LIETUVOS RESPUBLIKOS AMBASADA ISPANIJOS KARALYSTĖJE</w:t>
      </w:r>
    </w:p>
    <w:p w14:paraId="69F4AA4D" w14:textId="77777777" w:rsidR="004D1FFC" w:rsidRPr="00A50871" w:rsidRDefault="004D1FFC">
      <w:pPr>
        <w:tabs>
          <w:tab w:val="left" w:pos="8080"/>
        </w:tabs>
        <w:rPr>
          <w:sz w:val="16"/>
          <w:lang w:val="lt-LT"/>
        </w:rPr>
      </w:pPr>
    </w:p>
    <w:p w14:paraId="6A364953" w14:textId="77777777" w:rsidR="004D1FFC" w:rsidRPr="00A50871" w:rsidRDefault="004D1FFC">
      <w:pPr>
        <w:tabs>
          <w:tab w:val="left" w:pos="8080"/>
        </w:tabs>
        <w:rPr>
          <w:sz w:val="20"/>
          <w:lang w:val="lt-LT"/>
        </w:rPr>
      </w:pPr>
    </w:p>
    <w:p w14:paraId="3FA7F0EF" w14:textId="4B812603"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A241A7">
        <w:rPr>
          <w:sz w:val="20"/>
          <w:lang w:val="lt-LT"/>
        </w:rPr>
        <w:t>balandžio 2</w:t>
      </w:r>
      <w:r w:rsidR="002B668A">
        <w:rPr>
          <w:sz w:val="20"/>
          <w:lang w:val="lt-LT"/>
        </w:rPr>
        <w:t>9</w:t>
      </w:r>
      <w:bookmarkStart w:id="0" w:name="_GoBack"/>
      <w:bookmarkEnd w:id="0"/>
      <w:r w:rsidR="00A241A7">
        <w:rPr>
          <w:sz w:val="20"/>
          <w:lang w:val="lt-LT"/>
        </w:rPr>
        <w:t xml:space="preserve"> </w:t>
      </w:r>
      <w:r w:rsidR="00520A91">
        <w:rPr>
          <w:sz w:val="20"/>
          <w:lang w:val="lt-LT"/>
        </w:rPr>
        <w:t>d.</w:t>
      </w:r>
      <w:r w:rsidRPr="00A50871">
        <w:rPr>
          <w:sz w:val="20"/>
          <w:lang w:val="lt-LT"/>
        </w:rPr>
        <w:t xml:space="preserve"> </w:t>
      </w:r>
    </w:p>
    <w:p w14:paraId="3C82F8C6" w14:textId="77777777" w:rsidR="004D1FFC" w:rsidRPr="00A50871" w:rsidRDefault="004D1FFC">
      <w:pPr>
        <w:tabs>
          <w:tab w:val="left" w:pos="8080"/>
        </w:tabs>
        <w:rPr>
          <w:sz w:val="16"/>
          <w:lang w:val="lt-LT"/>
        </w:rPr>
      </w:pPr>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BodyText"/>
        <w:ind w:right="-365" w:firstLine="0"/>
        <w:rPr>
          <w:sz w:val="20"/>
        </w:rPr>
      </w:pPr>
    </w:p>
    <w:p w14:paraId="3D9ACD85" w14:textId="77777777"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BodyText"/>
        <w:ind w:firstLine="0"/>
        <w:rPr>
          <w:sz w:val="8"/>
          <w:szCs w:val="8"/>
        </w:rPr>
      </w:pPr>
    </w:p>
    <w:p w14:paraId="74522115" w14:textId="77777777"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BodyText"/>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BodyText"/>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BodyText"/>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BodyText"/>
        <w:ind w:right="-365" w:firstLine="0"/>
        <w:rPr>
          <w:sz w:val="36"/>
          <w:szCs w:val="36"/>
        </w:rPr>
      </w:pPr>
    </w:p>
    <w:p w14:paraId="0B19F8FE" w14:textId="77777777" w:rsidR="00971785" w:rsidRDefault="00971785" w:rsidP="00D06765">
      <w:pPr>
        <w:pStyle w:val="BodyText"/>
        <w:ind w:right="-365" w:firstLine="0"/>
        <w:rPr>
          <w:sz w:val="36"/>
          <w:szCs w:val="36"/>
        </w:rPr>
      </w:pPr>
    </w:p>
    <w:p w14:paraId="7E71CD36" w14:textId="77777777" w:rsidR="00681C6F" w:rsidRDefault="00681C6F" w:rsidP="00681C6F">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BodyText"/>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F2CC" w14:textId="77777777" w:rsidR="000011CF" w:rsidRDefault="000011CF">
      <w:r>
        <w:separator/>
      </w:r>
    </w:p>
  </w:endnote>
  <w:endnote w:type="continuationSeparator" w:id="0">
    <w:p w14:paraId="12D44FC3" w14:textId="77777777" w:rsidR="000011CF" w:rsidRDefault="0000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53F" w14:textId="23B85957" w:rsidR="003D3983" w:rsidRDefault="003D3983">
    <w:pPr>
      <w:pStyle w:val="Footer"/>
      <w:jc w:val="right"/>
    </w:pPr>
    <w:r>
      <w:fldChar w:fldCharType="begin"/>
    </w:r>
    <w:r>
      <w:instrText>PAGE   \* MERGEFORMAT</w:instrText>
    </w:r>
    <w:r>
      <w:fldChar w:fldCharType="separate"/>
    </w:r>
    <w:r w:rsidR="002B668A">
      <w:rPr>
        <w:noProof/>
      </w:rPr>
      <w:t>2</w:t>
    </w:r>
    <w:r>
      <w:fldChar w:fldCharType="end"/>
    </w:r>
  </w:p>
  <w:p w14:paraId="5E16453F" w14:textId="77777777"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3E77" w14:textId="77777777" w:rsidR="000011CF" w:rsidRDefault="000011CF">
      <w:r>
        <w:separator/>
      </w:r>
    </w:p>
  </w:footnote>
  <w:footnote w:type="continuationSeparator" w:id="0">
    <w:p w14:paraId="2DE8C03F" w14:textId="77777777" w:rsidR="000011CF" w:rsidRDefault="0000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CB8" w14:textId="77777777" w:rsidR="00F94CAD" w:rsidRPr="00A66162" w:rsidRDefault="00F94CAD" w:rsidP="00A66162">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11CF"/>
    <w:rsid w:val="00002E4D"/>
    <w:rsid w:val="00064405"/>
    <w:rsid w:val="000B0ABA"/>
    <w:rsid w:val="000B4390"/>
    <w:rsid w:val="000C5BDA"/>
    <w:rsid w:val="000C68F0"/>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B668A"/>
    <w:rsid w:val="002D35BE"/>
    <w:rsid w:val="002E5D5C"/>
    <w:rsid w:val="003028DE"/>
    <w:rsid w:val="003164A2"/>
    <w:rsid w:val="00321911"/>
    <w:rsid w:val="00346430"/>
    <w:rsid w:val="003528F2"/>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2366E"/>
    <w:rsid w:val="006263C4"/>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57081"/>
    <w:rsid w:val="00760B31"/>
    <w:rsid w:val="00773F0A"/>
    <w:rsid w:val="007811C7"/>
    <w:rsid w:val="00792DB5"/>
    <w:rsid w:val="007D49DC"/>
    <w:rsid w:val="007F37D5"/>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241A7"/>
    <w:rsid w:val="00A34F8D"/>
    <w:rsid w:val="00A50871"/>
    <w:rsid w:val="00A5562C"/>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paragraph" w:styleId="CommentSubject">
    <w:name w:val="annotation subject"/>
    <w:basedOn w:val="CommentText"/>
    <w:next w:val="CommentText"/>
    <w:link w:val="CommentSubjectChar"/>
    <w:uiPriority w:val="99"/>
    <w:semiHidden/>
    <w:unhideWhenUsed/>
    <w:rsid w:val="00520A91"/>
    <w:rPr>
      <w:b/>
      <w:bCs/>
    </w:rPr>
  </w:style>
  <w:style w:type="character" w:customStyle="1" w:styleId="CommentSubjectChar">
    <w:name w:val="Comment Subject Char"/>
    <w:link w:val="CommentSubject"/>
    <w:uiPriority w:val="99"/>
    <w:semiHidden/>
    <w:rsid w:val="00520A91"/>
    <w:rPr>
      <w:b/>
      <w:bCs/>
      <w:lang w:val="en-GB" w:eastAsia="en-US" w:bidi="ar-SA"/>
    </w:rPr>
  </w:style>
  <w:style w:type="paragraph" w:styleId="Revision">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A1A8-942B-4D4A-96B4-721F334E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Lilija ŽINIENĖ</cp:lastModifiedBy>
  <cp:revision>4</cp:revision>
  <cp:lastPrinted>2019-03-01T16:05:00Z</cp:lastPrinted>
  <dcterms:created xsi:type="dcterms:W3CDTF">2019-03-13T15:17:00Z</dcterms:created>
  <dcterms:modified xsi:type="dcterms:W3CDTF">2019-04-05T11:57:00Z</dcterms:modified>
</cp:coreProperties>
</file>